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ook w:val="04A0" w:firstRow="1" w:lastRow="0" w:firstColumn="1" w:lastColumn="0" w:noHBand="0" w:noVBand="1"/>
      </w:tblPr>
      <w:tblGrid>
        <w:gridCol w:w="2517"/>
        <w:gridCol w:w="6687"/>
      </w:tblGrid>
      <w:tr w:rsidR="0034504F" w:rsidRPr="00C50E5A" w14:paraId="0396E1E7" w14:textId="77777777" w:rsidTr="00292047">
        <w:tc>
          <w:tcPr>
            <w:tcW w:w="2518" w:type="dxa"/>
            <w:shd w:val="clear" w:color="auto" w:fill="auto"/>
            <w:vAlign w:val="center"/>
          </w:tcPr>
          <w:p w14:paraId="5DACCB04" w14:textId="77777777" w:rsidR="0034504F" w:rsidRPr="00C50E5A" w:rsidRDefault="006A31BE" w:rsidP="00292047">
            <w:pPr>
              <w:pStyle w:val="Titre"/>
              <w:rPr>
                <w:rFonts w:ascii="Calibri" w:hAnsi="Calibri" w:cs="Calibri"/>
                <w:color w:val="31849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Calibri"/>
                <w:color w:val="31849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Annonce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48F53FA1" w14:textId="7F53AB49" w:rsidR="0034504F" w:rsidRPr="00C50E5A" w:rsidRDefault="00D74DE2" w:rsidP="00292047">
            <w:pPr>
              <w:pStyle w:val="Titre"/>
              <w:pBdr>
                <w:top w:val="single" w:sz="4" w:space="1" w:color="31849B"/>
                <w:left w:val="single" w:sz="4" w:space="4" w:color="31849B"/>
                <w:bottom w:val="single" w:sz="4" w:space="1" w:color="31849B"/>
                <w:right w:val="single" w:sz="4" w:space="4" w:color="31849B"/>
              </w:pBdr>
              <w:shd w:val="clear" w:color="auto" w:fill="31849B"/>
              <w:rPr>
                <w:rFonts w:ascii="Calibri" w:hAnsi="Calibri" w:cs="Calibri"/>
                <w:color w:val="aut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hAnsi="Calibri" w:cs="Calibri"/>
                <w:color w:val="aut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Gestionnaire contentieux en alternance</w:t>
            </w:r>
            <w:r w:rsidR="001A77B5">
              <w:rPr>
                <w:rFonts w:ascii="Calibri" w:hAnsi="Calibri" w:cs="Calibri"/>
                <w:color w:val="aut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H/F</w:t>
            </w:r>
          </w:p>
        </w:tc>
      </w:tr>
    </w:tbl>
    <w:p w14:paraId="4E65094C" w14:textId="77777777" w:rsidR="00BB5AEB" w:rsidRDefault="00BB5AEB" w:rsidP="00BB5AEB">
      <w:pPr>
        <w:spacing w:before="60" w:after="60"/>
        <w:jc w:val="both"/>
        <w:rPr>
          <w:rFonts w:ascii="Calibri" w:hAnsi="Calibri" w:cs="Calibri"/>
          <w:b/>
          <w:smallCaps/>
          <w:color w:val="31849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8AD2A2" w14:textId="77777777" w:rsidR="00D74DE2" w:rsidRPr="007373A1" w:rsidRDefault="00D74DE2" w:rsidP="00D74DE2">
      <w:pPr>
        <w:spacing w:before="60" w:after="60"/>
        <w:jc w:val="both"/>
        <w:rPr>
          <w:rFonts w:ascii="Calibri" w:hAnsi="Calibri" w:cs="Calibri"/>
          <w:b/>
          <w:smallCaps/>
          <w:color w:val="31849B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73A1">
        <w:rPr>
          <w:rFonts w:ascii="Calibri" w:hAnsi="Calibri" w:cs="Calibri"/>
          <w:b/>
          <w:smallCaps/>
          <w:color w:val="31849B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Présentation entreprise</w:t>
      </w:r>
    </w:p>
    <w:p w14:paraId="57BF5A35" w14:textId="77777777" w:rsidR="00D74DE2" w:rsidRPr="00EA1661" w:rsidRDefault="00D74DE2" w:rsidP="00D74DE2">
      <w:pPr>
        <w:spacing w:before="60" w:after="60"/>
        <w:jc w:val="both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EA1661">
        <w:rPr>
          <w:rFonts w:asciiTheme="minorHAnsi" w:eastAsiaTheme="minorHAnsi" w:hAnsiTheme="minorHAnsi" w:cstheme="minorHAnsi"/>
          <w:bCs/>
          <w:sz w:val="24"/>
          <w:szCs w:val="24"/>
        </w:rPr>
        <w:t xml:space="preserve">Avec </w:t>
      </w:r>
      <w:r w:rsidRPr="00EA1661">
        <w:rPr>
          <w:rFonts w:asciiTheme="minorHAnsi" w:eastAsiaTheme="minorHAnsi" w:hAnsiTheme="minorHAnsi" w:cstheme="minorHAnsi"/>
          <w:b/>
          <w:sz w:val="24"/>
          <w:szCs w:val="24"/>
        </w:rPr>
        <w:t>6 sociétés</w:t>
      </w:r>
      <w:r w:rsidRPr="00EA1661">
        <w:rPr>
          <w:rFonts w:asciiTheme="minorHAnsi" w:eastAsiaTheme="minorHAnsi" w:hAnsiTheme="minorHAnsi" w:cstheme="minorHAnsi"/>
          <w:bCs/>
          <w:sz w:val="24"/>
          <w:szCs w:val="24"/>
        </w:rPr>
        <w:t xml:space="preserve"> réparties sur l’ensemble du territoire et un patrimoine de plus de </w:t>
      </w:r>
      <w:r w:rsidRPr="00EA1661">
        <w:rPr>
          <w:rFonts w:asciiTheme="minorHAnsi" w:eastAsiaTheme="minorHAnsi" w:hAnsiTheme="minorHAnsi" w:cstheme="minorHAnsi"/>
          <w:b/>
          <w:sz w:val="24"/>
          <w:szCs w:val="24"/>
        </w:rPr>
        <w:t>95 000 logements</w:t>
      </w:r>
      <w:r w:rsidRPr="00EA1661">
        <w:rPr>
          <w:rFonts w:asciiTheme="minorHAnsi" w:eastAsiaTheme="minorHAnsi" w:hAnsiTheme="minorHAnsi" w:cstheme="minorHAnsi"/>
          <w:bCs/>
          <w:sz w:val="24"/>
          <w:szCs w:val="24"/>
        </w:rPr>
        <w:t xml:space="preserve"> qui conjugue logements sociaux, intermédiaires, à loyer libre et résidences adaptées à des publics spécifiques</w:t>
      </w:r>
      <w:r w:rsidRPr="00EA1661">
        <w:rPr>
          <w:rFonts w:asciiTheme="minorHAnsi" w:eastAsiaTheme="minorHAnsi" w:hAnsiTheme="minorHAnsi" w:cstheme="minorHAnsi"/>
          <w:b/>
          <w:sz w:val="24"/>
          <w:szCs w:val="24"/>
        </w:rPr>
        <w:t>, ICF Habitat</w:t>
      </w:r>
      <w:r w:rsidRPr="00EA1661">
        <w:rPr>
          <w:rFonts w:asciiTheme="minorHAnsi" w:eastAsiaTheme="minorHAnsi" w:hAnsiTheme="minorHAnsi" w:cstheme="minorHAnsi"/>
          <w:bCs/>
          <w:sz w:val="24"/>
          <w:szCs w:val="24"/>
        </w:rPr>
        <w:t xml:space="preserve"> compte parmi les plus grands opérateurs de logements en France, en logeant près de </w:t>
      </w:r>
      <w:r w:rsidRPr="00EA1661">
        <w:rPr>
          <w:rFonts w:asciiTheme="minorHAnsi" w:eastAsiaTheme="minorHAnsi" w:hAnsiTheme="minorHAnsi" w:cstheme="minorHAnsi"/>
          <w:b/>
          <w:sz w:val="24"/>
          <w:szCs w:val="24"/>
        </w:rPr>
        <w:t>210 000 personnes</w:t>
      </w:r>
      <w:r w:rsidRPr="00EA1661">
        <w:rPr>
          <w:rFonts w:asciiTheme="minorHAnsi" w:eastAsiaTheme="minorHAnsi" w:hAnsiTheme="minorHAnsi" w:cstheme="minorHAnsi"/>
          <w:bCs/>
          <w:sz w:val="24"/>
          <w:szCs w:val="24"/>
        </w:rPr>
        <w:t xml:space="preserve">. Présent à l’échelle nationale, en particulier dans les grands centres urbains, le Groupe œuvre à la réalisation des politiques logement de l’État, des collectivités territoriales et de SNCF, son actionnaire.  </w:t>
      </w:r>
    </w:p>
    <w:p w14:paraId="62F4766C" w14:textId="77777777" w:rsidR="00D74DE2" w:rsidRDefault="00D74DE2" w:rsidP="00D74DE2">
      <w:pPr>
        <w:spacing w:before="60" w:after="60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EA1661">
        <w:rPr>
          <w:rFonts w:asciiTheme="minorHAnsi" w:eastAsiaTheme="minorHAnsi" w:hAnsiTheme="minorHAnsi" w:cstheme="minorHAnsi"/>
          <w:bCs/>
          <w:sz w:val="24"/>
          <w:szCs w:val="24"/>
        </w:rPr>
        <w:t xml:space="preserve">S’engageant à travers une politique de </w:t>
      </w:r>
      <w:r w:rsidRPr="00EA1661">
        <w:rPr>
          <w:rFonts w:asciiTheme="minorHAnsi" w:eastAsiaTheme="minorHAnsi" w:hAnsiTheme="minorHAnsi" w:cstheme="minorHAnsi"/>
          <w:b/>
          <w:sz w:val="24"/>
          <w:szCs w:val="24"/>
        </w:rPr>
        <w:t>développement durable</w:t>
      </w:r>
      <w:r w:rsidRPr="00EA1661">
        <w:rPr>
          <w:rFonts w:asciiTheme="minorHAnsi" w:eastAsiaTheme="minorHAnsi" w:hAnsiTheme="minorHAnsi" w:cstheme="minorHAnsi"/>
          <w:bCs/>
          <w:sz w:val="24"/>
          <w:szCs w:val="24"/>
        </w:rPr>
        <w:t xml:space="preserve"> ambitieuse, tous les programmes de </w:t>
      </w:r>
      <w:r w:rsidRPr="00EA1661">
        <w:rPr>
          <w:rFonts w:asciiTheme="minorHAnsi" w:eastAsiaTheme="minorHAnsi" w:hAnsiTheme="minorHAnsi" w:cstheme="minorHAnsi"/>
          <w:b/>
          <w:sz w:val="24"/>
          <w:szCs w:val="24"/>
        </w:rPr>
        <w:t>construction et de réhabilitation</w:t>
      </w:r>
      <w:r w:rsidRPr="00EA1661">
        <w:rPr>
          <w:rFonts w:asciiTheme="minorHAnsi" w:eastAsiaTheme="minorHAnsi" w:hAnsiTheme="minorHAnsi" w:cstheme="minorHAnsi"/>
          <w:bCs/>
          <w:sz w:val="24"/>
          <w:szCs w:val="24"/>
        </w:rPr>
        <w:t xml:space="preserve"> concilient performance énergétique et confort du cadre de vie. À la qualité du patrimoine, s’ajoute une exigence de qualité de service rendu. </w:t>
      </w:r>
      <w:r w:rsidRPr="00EA1661">
        <w:rPr>
          <w:rFonts w:asciiTheme="minorHAnsi" w:eastAsiaTheme="minorHAnsi" w:hAnsiTheme="minorHAnsi" w:cstheme="minorHAnsi"/>
          <w:b/>
          <w:sz w:val="24"/>
          <w:szCs w:val="24"/>
        </w:rPr>
        <w:t>Les 1 539 femmes et hommes</w:t>
      </w:r>
      <w:r w:rsidRPr="00EA1661">
        <w:rPr>
          <w:rFonts w:asciiTheme="minorHAnsi" w:eastAsiaTheme="minorHAnsi" w:hAnsiTheme="minorHAnsi" w:cstheme="minorHAnsi"/>
          <w:bCs/>
          <w:sz w:val="24"/>
          <w:szCs w:val="24"/>
        </w:rPr>
        <w:t xml:space="preserve"> qui composent les équipes d’ICF Habitat y travaillent au quotidien.  Le Groupe </w:t>
      </w:r>
      <w:r w:rsidRPr="00EA1661">
        <w:rPr>
          <w:rFonts w:asciiTheme="minorHAnsi" w:eastAsiaTheme="minorHAnsi" w:hAnsiTheme="minorHAnsi" w:cstheme="minorHAnsi"/>
          <w:b/>
          <w:sz w:val="24"/>
          <w:szCs w:val="24"/>
        </w:rPr>
        <w:t>invente aujourd’hui le logement de demain</w:t>
      </w:r>
      <w:r w:rsidRPr="00EA1661">
        <w:rPr>
          <w:rFonts w:asciiTheme="minorHAnsi" w:eastAsiaTheme="minorHAnsi" w:hAnsiTheme="minorHAnsi" w:cstheme="minorHAnsi"/>
          <w:bCs/>
          <w:sz w:val="24"/>
          <w:szCs w:val="24"/>
        </w:rPr>
        <w:t xml:space="preserve"> : un habitat à visage humain, responsable, innovant, conçu pour répondre aux attentes de tous les publics.</w:t>
      </w:r>
      <w:r w:rsidRPr="00EA1661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</w:p>
    <w:p w14:paraId="576FFEE6" w14:textId="77777777" w:rsidR="00D74DE2" w:rsidRPr="00CC0DD0" w:rsidRDefault="00D74DE2" w:rsidP="00D74DE2">
      <w:pPr>
        <w:spacing w:before="60" w:after="60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b/>
          <w:smallCaps/>
          <w:color w:val="31849B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description</w:t>
      </w:r>
    </w:p>
    <w:p w14:paraId="7E92AC72" w14:textId="77777777" w:rsidR="00D74DE2" w:rsidRPr="00B360F0" w:rsidRDefault="00D74DE2" w:rsidP="00D74DE2">
      <w:pPr>
        <w:spacing w:before="60" w:after="6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B360F0">
        <w:rPr>
          <w:rFonts w:asciiTheme="minorHAnsi" w:eastAsiaTheme="minorHAnsi" w:hAnsiTheme="minorHAnsi" w:cstheme="minorHAnsi"/>
          <w:sz w:val="24"/>
          <w:szCs w:val="24"/>
        </w:rPr>
        <w:t>Au sein du pôle contentieux de la direction du parcours et de la culture client, vous serez rattaché(e) au responsable du service contentieux, vous contribuez à assurer le bon déroulement des procédures contentieuses à engager sur un secteur, dans le respect des dispositions légales et conventionnelles. Vous assurez le recouvrement des créances litigieuses en participant à la maîtrise des risques financiers.</w:t>
      </w:r>
    </w:p>
    <w:p w14:paraId="5BEE8B05" w14:textId="77777777" w:rsidR="00D74DE2" w:rsidRPr="00B360F0" w:rsidRDefault="00D74DE2" w:rsidP="00D74DE2">
      <w:pPr>
        <w:spacing w:before="60" w:after="6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B360F0">
        <w:rPr>
          <w:rFonts w:asciiTheme="minorHAnsi" w:eastAsiaTheme="minorHAnsi" w:hAnsiTheme="minorHAnsi" w:cstheme="minorHAnsi"/>
          <w:sz w:val="24"/>
          <w:szCs w:val="24"/>
        </w:rPr>
        <w:t xml:space="preserve">Plus particulièrement, dans cette mission, vous devez assurer </w:t>
      </w:r>
      <w:r>
        <w:rPr>
          <w:rFonts w:asciiTheme="minorHAnsi" w:eastAsiaTheme="minorHAnsi" w:hAnsiTheme="minorHAnsi" w:cstheme="minorHAnsi"/>
          <w:sz w:val="24"/>
          <w:szCs w:val="24"/>
        </w:rPr>
        <w:t>la gestion contentieuse</w:t>
      </w:r>
      <w:r w:rsidRPr="00B360F0">
        <w:rPr>
          <w:rFonts w:asciiTheme="minorHAnsi" w:eastAsiaTheme="minorHAnsi" w:hAnsiTheme="minorHAnsi" w:cstheme="minorHAnsi"/>
          <w:sz w:val="24"/>
          <w:szCs w:val="24"/>
        </w:rPr>
        <w:t xml:space="preserve"> des locataires partis. Vous gérez </w:t>
      </w:r>
      <w:r>
        <w:rPr>
          <w:rFonts w:asciiTheme="minorHAnsi" w:eastAsiaTheme="minorHAnsi" w:hAnsiTheme="minorHAnsi" w:cstheme="minorHAnsi"/>
          <w:sz w:val="24"/>
          <w:szCs w:val="24"/>
        </w:rPr>
        <w:t>les stocks d’impayés via un portefeuille de dossiers que vous avez en charge</w:t>
      </w:r>
      <w:r w:rsidRPr="00B360F0">
        <w:rPr>
          <w:rFonts w:asciiTheme="minorHAnsi" w:eastAsiaTheme="minorHAnsi" w:hAnsiTheme="minorHAnsi" w:cstheme="minorHAnsi"/>
          <w:sz w:val="24"/>
          <w:szCs w:val="24"/>
        </w:rPr>
        <w:t xml:space="preserve">. </w:t>
      </w:r>
      <w:r>
        <w:rPr>
          <w:rFonts w:asciiTheme="minorHAnsi" w:eastAsiaTheme="minorHAnsi" w:hAnsiTheme="minorHAnsi" w:cstheme="minorHAnsi"/>
          <w:sz w:val="24"/>
          <w:szCs w:val="24"/>
        </w:rPr>
        <w:t>Vous</w:t>
      </w:r>
      <w:r w:rsidRPr="00B360F0">
        <w:rPr>
          <w:rFonts w:asciiTheme="minorHAnsi" w:eastAsiaTheme="minorHAnsi" w:hAnsiTheme="minorHAnsi" w:cstheme="minorHAnsi"/>
          <w:sz w:val="24"/>
          <w:szCs w:val="24"/>
        </w:rPr>
        <w:t xml:space="preserve"> effectuez les relances des actes de procédures contentieuses.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Pour finir vous gérez également les courriers en lien avec les représentants de justice et l’archivage.</w:t>
      </w:r>
    </w:p>
    <w:p w14:paraId="7857016B" w14:textId="77777777" w:rsidR="00D74DE2" w:rsidRPr="00B360F0" w:rsidRDefault="00D74DE2" w:rsidP="00D74DE2">
      <w:pPr>
        <w:spacing w:before="60" w:after="6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B360F0">
        <w:rPr>
          <w:rFonts w:asciiTheme="minorHAnsi" w:eastAsiaTheme="minorHAnsi" w:hAnsiTheme="minorHAnsi" w:cstheme="minorHAnsi"/>
          <w:sz w:val="24"/>
          <w:szCs w:val="24"/>
        </w:rPr>
        <w:t>Relationnellement, vous savez faire preuve de coopération transversale, de pédagogie et d’écoute. Travailler en équipe, vous est essentiel.</w:t>
      </w:r>
    </w:p>
    <w:p w14:paraId="3CDE5BBC" w14:textId="77777777" w:rsidR="00D74DE2" w:rsidRPr="007373A1" w:rsidRDefault="00D74DE2" w:rsidP="00D74DE2">
      <w:pPr>
        <w:spacing w:before="60" w:after="60"/>
        <w:jc w:val="both"/>
        <w:rPr>
          <w:rFonts w:ascii="Calibri" w:hAnsi="Calibri" w:cs="Calibri"/>
          <w:b/>
          <w:smallCaps/>
          <w:color w:val="31849B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Calibri"/>
          <w:b/>
          <w:smallCaps/>
          <w:color w:val="31849B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Qualifications</w:t>
      </w:r>
    </w:p>
    <w:p w14:paraId="39720A7F" w14:textId="77777777" w:rsidR="00D74DE2" w:rsidRPr="00B360F0" w:rsidRDefault="00D74DE2" w:rsidP="00D74DE2">
      <w:pPr>
        <w:pStyle w:val="s8"/>
        <w:spacing w:after="0"/>
        <w:jc w:val="both"/>
        <w:rPr>
          <w:rFonts w:asciiTheme="minorHAnsi" w:hAnsiTheme="minorHAnsi" w:cstheme="minorHAnsi"/>
          <w:bCs/>
        </w:rPr>
      </w:pPr>
      <w:r w:rsidRPr="00B360F0">
        <w:rPr>
          <w:rFonts w:asciiTheme="minorHAnsi" w:hAnsiTheme="minorHAnsi" w:cstheme="minorHAnsi"/>
          <w:bCs/>
        </w:rPr>
        <w:t>Ce poste nécessite la préparation d’une licence professionnelle orientée immobilier/gestion locative</w:t>
      </w:r>
      <w:r>
        <w:rPr>
          <w:rFonts w:asciiTheme="minorHAnsi" w:hAnsiTheme="minorHAnsi" w:cstheme="minorHAnsi"/>
          <w:bCs/>
        </w:rPr>
        <w:t>/contentieux</w:t>
      </w:r>
      <w:r w:rsidRPr="00B360F0">
        <w:rPr>
          <w:rFonts w:asciiTheme="minorHAnsi" w:hAnsiTheme="minorHAnsi" w:cstheme="minorHAnsi"/>
          <w:bCs/>
        </w:rPr>
        <w:t>. Vous avez idéalement une première expérience en gestion locative (stage/alternance/CDD/CDI).</w:t>
      </w:r>
    </w:p>
    <w:p w14:paraId="670983C0" w14:textId="77777777" w:rsidR="00D74DE2" w:rsidRDefault="00D74DE2" w:rsidP="00D74DE2">
      <w:pPr>
        <w:pStyle w:val="s8"/>
        <w:spacing w:after="0"/>
        <w:jc w:val="both"/>
        <w:rPr>
          <w:rFonts w:asciiTheme="minorHAnsi" w:hAnsiTheme="minorHAnsi" w:cstheme="minorHAnsi"/>
          <w:bCs/>
        </w:rPr>
      </w:pPr>
      <w:r w:rsidRPr="00B360F0">
        <w:rPr>
          <w:rFonts w:asciiTheme="minorHAnsi" w:hAnsiTheme="minorHAnsi" w:cstheme="minorHAnsi"/>
          <w:bCs/>
        </w:rPr>
        <w:t>Votre connaissance de la législation, notamment celle relative à la gestion locative, sociale et contentieuse, vous permettra d’appréhender justement les dispositifs d'aides légales, procédures amiables et contentieuses et les acteurs concernés.</w:t>
      </w:r>
    </w:p>
    <w:p w14:paraId="73103FE1" w14:textId="77777777" w:rsidR="00D74DE2" w:rsidRPr="00B360F0" w:rsidRDefault="00D74DE2" w:rsidP="00D74DE2">
      <w:pPr>
        <w:pStyle w:val="s8"/>
        <w:spacing w:after="0"/>
        <w:jc w:val="both"/>
        <w:rPr>
          <w:rFonts w:asciiTheme="minorHAnsi" w:hAnsiTheme="minorHAnsi" w:cstheme="minorHAnsi"/>
          <w:bCs/>
        </w:rPr>
      </w:pPr>
      <w:r w:rsidRPr="00B360F0">
        <w:rPr>
          <w:rFonts w:asciiTheme="minorHAnsi" w:hAnsiTheme="minorHAnsi" w:cstheme="minorHAnsi"/>
          <w:bCs/>
        </w:rPr>
        <w:t xml:space="preserve">Votre </w:t>
      </w:r>
      <w:r>
        <w:rPr>
          <w:rFonts w:asciiTheme="minorHAnsi" w:hAnsiTheme="minorHAnsi" w:cstheme="minorHAnsi"/>
          <w:bCs/>
        </w:rPr>
        <w:t>curiosité</w:t>
      </w:r>
      <w:r w:rsidRPr="00B360F0">
        <w:rPr>
          <w:rFonts w:asciiTheme="minorHAnsi" w:hAnsiTheme="minorHAnsi" w:cstheme="minorHAnsi"/>
          <w:bCs/>
        </w:rPr>
        <w:t xml:space="preserve">, votre </w:t>
      </w:r>
      <w:r>
        <w:rPr>
          <w:rFonts w:asciiTheme="minorHAnsi" w:hAnsiTheme="minorHAnsi" w:cstheme="minorHAnsi"/>
          <w:bCs/>
        </w:rPr>
        <w:t>rigueur</w:t>
      </w:r>
      <w:r w:rsidRPr="00B360F0">
        <w:rPr>
          <w:rFonts w:asciiTheme="minorHAnsi" w:hAnsiTheme="minorHAnsi" w:cstheme="minorHAnsi"/>
          <w:bCs/>
        </w:rPr>
        <w:t xml:space="preserve"> ainsi que vos capacités d’</w:t>
      </w:r>
      <w:r>
        <w:rPr>
          <w:rFonts w:asciiTheme="minorHAnsi" w:hAnsiTheme="minorHAnsi" w:cstheme="minorHAnsi"/>
          <w:bCs/>
        </w:rPr>
        <w:t xml:space="preserve">organisation </w:t>
      </w:r>
      <w:r w:rsidRPr="00B360F0">
        <w:rPr>
          <w:rFonts w:asciiTheme="minorHAnsi" w:hAnsiTheme="minorHAnsi" w:cstheme="minorHAnsi"/>
          <w:bCs/>
        </w:rPr>
        <w:t>seront un atout au sein du service.</w:t>
      </w:r>
    </w:p>
    <w:p w14:paraId="516F807D" w14:textId="77777777" w:rsidR="00D74DE2" w:rsidRPr="00B360F0" w:rsidRDefault="00D74DE2" w:rsidP="00D74DE2">
      <w:pPr>
        <w:pStyle w:val="s8"/>
        <w:spacing w:after="0"/>
        <w:jc w:val="both"/>
        <w:rPr>
          <w:rFonts w:asciiTheme="minorHAnsi" w:hAnsiTheme="minorHAnsi" w:cstheme="minorHAnsi"/>
          <w:bCs/>
        </w:rPr>
      </w:pPr>
      <w:r w:rsidRPr="00B360F0">
        <w:rPr>
          <w:rFonts w:asciiTheme="minorHAnsi" w:hAnsiTheme="minorHAnsi" w:cstheme="minorHAnsi"/>
          <w:bCs/>
        </w:rPr>
        <w:t>Vous souhaitez évoluer dans les métiers de la finance au sein d'une équipe dynamique : alors rejoignez-nous !</w:t>
      </w:r>
    </w:p>
    <w:p w14:paraId="3DA12F06" w14:textId="77777777" w:rsidR="00D74DE2" w:rsidRPr="00B360F0" w:rsidRDefault="00D74DE2" w:rsidP="00D74DE2">
      <w:pPr>
        <w:pStyle w:val="s8"/>
        <w:spacing w:after="0"/>
        <w:jc w:val="both"/>
        <w:rPr>
          <w:rFonts w:asciiTheme="minorHAnsi" w:hAnsiTheme="minorHAnsi" w:cstheme="minorHAnsi"/>
          <w:bCs/>
        </w:rPr>
      </w:pPr>
      <w:r w:rsidRPr="00B360F0">
        <w:rPr>
          <w:rFonts w:asciiTheme="minorHAnsi" w:hAnsiTheme="minorHAnsi" w:cstheme="minorHAnsi"/>
          <w:bCs/>
        </w:rPr>
        <w:lastRenderedPageBreak/>
        <w:t>Ce poste est basé à Paris 10ème à pourvoir en alternance dans le cadre d’un contrat d’apprentissage pour une durée de</w:t>
      </w:r>
      <w:r>
        <w:rPr>
          <w:rFonts w:asciiTheme="minorHAnsi" w:hAnsiTheme="minorHAnsi" w:cstheme="minorHAnsi"/>
          <w:bCs/>
        </w:rPr>
        <w:t xml:space="preserve"> 12 ou</w:t>
      </w:r>
      <w:r w:rsidRPr="00B360F0">
        <w:rPr>
          <w:rFonts w:asciiTheme="minorHAnsi" w:hAnsiTheme="minorHAnsi" w:cstheme="minorHAnsi"/>
          <w:bCs/>
        </w:rPr>
        <w:t xml:space="preserve"> 24 mois.</w:t>
      </w:r>
    </w:p>
    <w:p w14:paraId="6B95DD6E" w14:textId="77777777" w:rsidR="00D74DE2" w:rsidRPr="007A1C30" w:rsidRDefault="00D74DE2" w:rsidP="00D74DE2">
      <w:pPr>
        <w:pStyle w:val="s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7A1C30">
        <w:rPr>
          <w:rFonts w:asciiTheme="minorHAnsi" w:hAnsiTheme="minorHAnsi" w:cstheme="minorHAnsi"/>
          <w:bCs/>
        </w:rPr>
        <w:t>Rejoindre ICF Habitat, c’est…</w:t>
      </w:r>
    </w:p>
    <w:p w14:paraId="6F5CC682" w14:textId="77777777" w:rsidR="00D74DE2" w:rsidRPr="007A1C30" w:rsidRDefault="00D74DE2" w:rsidP="00D74DE2">
      <w:pPr>
        <w:pStyle w:val="s8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</w:rPr>
      </w:pPr>
      <w:r w:rsidRPr="007A1C30">
        <w:rPr>
          <w:rFonts w:asciiTheme="minorHAnsi" w:hAnsiTheme="minorHAnsi" w:cstheme="minorHAnsi"/>
          <w:bCs/>
        </w:rPr>
        <w:t>Apporter sa pierre à l’édifice</w:t>
      </w:r>
      <w:r>
        <w:rPr>
          <w:rFonts w:asciiTheme="minorHAnsi" w:hAnsiTheme="minorHAnsi" w:cstheme="minorHAnsi"/>
          <w:bCs/>
        </w:rPr>
        <w:t xml:space="preserve"> en contribuant à une mission sociale. </w:t>
      </w:r>
    </w:p>
    <w:p w14:paraId="55386BAD" w14:textId="77777777" w:rsidR="00D74DE2" w:rsidRPr="007A1C30" w:rsidRDefault="00D74DE2" w:rsidP="00D74DE2">
      <w:pPr>
        <w:pStyle w:val="s8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</w:rPr>
      </w:pPr>
      <w:r w:rsidRPr="007A1C30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>ntégrer un Groupe qui a su se renouveler et prendre le virage du digital.</w:t>
      </w:r>
    </w:p>
    <w:p w14:paraId="7087AED3" w14:textId="77777777" w:rsidR="00D74DE2" w:rsidRPr="007A1C30" w:rsidRDefault="00D74DE2" w:rsidP="00D74DE2">
      <w:pPr>
        <w:pStyle w:val="s8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</w:rPr>
      </w:pPr>
      <w:r w:rsidRPr="007A1C30">
        <w:rPr>
          <w:rFonts w:asciiTheme="minorHAnsi" w:hAnsiTheme="minorHAnsi" w:cstheme="minorHAnsi"/>
          <w:bCs/>
        </w:rPr>
        <w:t>Développer de nouvelles compétences grâce à la diversité de vos missions</w:t>
      </w:r>
      <w:r>
        <w:rPr>
          <w:rFonts w:asciiTheme="minorHAnsi" w:hAnsiTheme="minorHAnsi" w:cstheme="minorHAnsi"/>
          <w:bCs/>
        </w:rPr>
        <w:t>.</w:t>
      </w:r>
      <w:r w:rsidRPr="007A1C30">
        <w:rPr>
          <w:rFonts w:asciiTheme="minorHAnsi" w:hAnsiTheme="minorHAnsi" w:cstheme="minorHAnsi"/>
          <w:bCs/>
        </w:rPr>
        <w:t xml:space="preserve"> </w:t>
      </w:r>
    </w:p>
    <w:p w14:paraId="204AD2D5" w14:textId="77777777" w:rsidR="00D74DE2" w:rsidRDefault="00D74DE2" w:rsidP="00D74DE2">
      <w:pPr>
        <w:pStyle w:val="s8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Trouver</w:t>
      </w:r>
      <w:r w:rsidRPr="007A1C30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une entreprise dont la longévité n’est plus à prouver </w:t>
      </w:r>
      <w:proofErr w:type="gramStart"/>
      <w:r>
        <w:rPr>
          <w:rFonts w:asciiTheme="minorHAnsi" w:hAnsiTheme="minorHAnsi" w:cstheme="minorHAnsi"/>
          <w:bCs/>
        </w:rPr>
        <w:t>de par</w:t>
      </w:r>
      <w:proofErr w:type="gramEnd"/>
      <w:r>
        <w:rPr>
          <w:rFonts w:asciiTheme="minorHAnsi" w:hAnsiTheme="minorHAnsi" w:cstheme="minorHAnsi"/>
          <w:bCs/>
        </w:rPr>
        <w:t xml:space="preserve"> ses 95 ans d’histoire.</w:t>
      </w:r>
    </w:p>
    <w:p w14:paraId="71870AB8" w14:textId="77777777" w:rsidR="00D74DE2" w:rsidRPr="008E39A1" w:rsidRDefault="00D74DE2" w:rsidP="00D74DE2">
      <w:pPr>
        <w:pStyle w:val="s8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Bénéficier d’un package de rémunération attractif et de conditions flexibles (télétravail).</w:t>
      </w:r>
    </w:p>
    <w:p w14:paraId="64B330C6" w14:textId="77777777" w:rsidR="00D74DE2" w:rsidRDefault="00D74DE2" w:rsidP="00D74DE2">
      <w:pPr>
        <w:pStyle w:val="s8"/>
        <w:spacing w:after="0" w:afterAutospacing="0"/>
        <w:jc w:val="both"/>
      </w:pPr>
      <w:r>
        <w:rPr>
          <w:rFonts w:ascii="Calibri" w:hAnsi="Calibri" w:cs="Calibri"/>
        </w:rPr>
        <w:t>Vous souhaitez donner du sens à votre métier ? Postulez dès maintenant !</w:t>
      </w:r>
    </w:p>
    <w:p w14:paraId="4963068D" w14:textId="77777777" w:rsidR="00D74DE2" w:rsidRPr="00DF5C0C" w:rsidRDefault="00D74DE2" w:rsidP="00D74DE2">
      <w:pPr>
        <w:pStyle w:val="s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C50CE9">
        <w:rPr>
          <w:rFonts w:asciiTheme="minorHAnsi" w:hAnsiTheme="minorHAnsi" w:cstheme="minorHAnsi"/>
          <w:bCs/>
        </w:rPr>
        <w:t xml:space="preserve">Dans le cadre de sa politique diversité, </w:t>
      </w:r>
      <w:r>
        <w:rPr>
          <w:rFonts w:asciiTheme="minorHAnsi" w:hAnsiTheme="minorHAnsi" w:cstheme="minorHAnsi"/>
          <w:bCs/>
        </w:rPr>
        <w:t>ICF HABITAT</w:t>
      </w:r>
      <w:r w:rsidRPr="00C50CE9">
        <w:rPr>
          <w:rFonts w:asciiTheme="minorHAnsi" w:hAnsiTheme="minorHAnsi" w:cstheme="minorHAnsi"/>
          <w:bCs/>
        </w:rPr>
        <w:t xml:space="preserve"> étudie, à compétences égales, toutes candidatures dont celles de personnes en situation de handicap</w:t>
      </w:r>
      <w:r>
        <w:rPr>
          <w:rFonts w:asciiTheme="minorHAnsi" w:hAnsiTheme="minorHAnsi" w:cstheme="minorHAnsi"/>
          <w:bCs/>
        </w:rPr>
        <w:t>.</w:t>
      </w:r>
    </w:p>
    <w:p w14:paraId="3A6F0506" w14:textId="77777777" w:rsidR="001A77B5" w:rsidRPr="001B6961" w:rsidRDefault="001A77B5" w:rsidP="001A77B5">
      <w:pPr>
        <w:pStyle w:val="s8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808080" w:themeColor="background1" w:themeShade="80"/>
        </w:rPr>
      </w:pPr>
    </w:p>
    <w:p w14:paraId="6EA44C5A" w14:textId="7489EC10" w:rsidR="00C50CE9" w:rsidRPr="00166B2B" w:rsidRDefault="00C50CE9" w:rsidP="001A77B5">
      <w:pPr>
        <w:pStyle w:val="s8"/>
        <w:jc w:val="both"/>
        <w:rPr>
          <w:rFonts w:asciiTheme="minorHAnsi" w:hAnsiTheme="minorHAnsi" w:cstheme="minorHAnsi"/>
        </w:rPr>
      </w:pPr>
    </w:p>
    <w:sectPr w:rsidR="00C50CE9" w:rsidRPr="00166B2B" w:rsidSect="00E96EB2">
      <w:headerReference w:type="default" r:id="rId8"/>
      <w:footerReference w:type="default" r:id="rId9"/>
      <w:pgSz w:w="11907" w:h="16840" w:code="9"/>
      <w:pgMar w:top="1134" w:right="1275" w:bottom="0" w:left="1418" w:header="1361" w:footer="5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1F29C" w14:textId="77777777" w:rsidR="00D6696E" w:rsidRDefault="00D6696E">
      <w:r>
        <w:separator/>
      </w:r>
    </w:p>
  </w:endnote>
  <w:endnote w:type="continuationSeparator" w:id="0">
    <w:p w14:paraId="70F0DC66" w14:textId="77777777" w:rsidR="00D6696E" w:rsidRDefault="00D6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1FA2" w14:textId="175AD3B8" w:rsidR="00CC0D19" w:rsidRDefault="00CC0D19" w:rsidP="006857EB">
    <w:pPr>
      <w:pStyle w:val="Pieddepage"/>
      <w:rPr>
        <w:snapToGrid w:val="0"/>
        <w:color w:val="4F81BD"/>
        <w:sz w:val="16"/>
      </w:rPr>
    </w:pPr>
  </w:p>
  <w:p w14:paraId="4FAB4A84" w14:textId="77777777" w:rsidR="00CC0D19" w:rsidRPr="00DF4A8E" w:rsidRDefault="00CC0D19" w:rsidP="006857EB">
    <w:pPr>
      <w:pStyle w:val="Pieddepage"/>
      <w:rPr>
        <w:rFonts w:ascii="Calibri" w:hAnsi="Calibri" w:cs="Calibri"/>
        <w:snapToGrid w:val="0"/>
        <w:color w:val="31849B"/>
        <w:sz w:val="16"/>
      </w:rPr>
    </w:pPr>
    <w:r w:rsidRPr="00DF4A8E">
      <w:rPr>
        <w:rFonts w:ascii="Calibri" w:hAnsi="Calibri" w:cs="Calibri"/>
        <w:snapToGrid w:val="0"/>
        <w:color w:val="31849B"/>
        <w:sz w:val="16"/>
      </w:rPr>
      <w:t>DRH - ICF HABITAT</w:t>
    </w:r>
    <w:r w:rsidR="00941E6D">
      <w:rPr>
        <w:rFonts w:ascii="Calibri" w:hAnsi="Calibri" w:cs="Calibri"/>
        <w:snapToGrid w:val="0"/>
        <w:color w:val="31849B"/>
        <w:sz w:val="16"/>
      </w:rPr>
      <w:tab/>
    </w:r>
    <w:r w:rsidR="002369EC">
      <w:rPr>
        <w:rFonts w:ascii="Calibri" w:hAnsi="Calibri" w:cs="Calibri"/>
        <w:snapToGrid w:val="0"/>
        <w:color w:val="31849B"/>
        <w:sz w:val="16"/>
      </w:rPr>
      <w:tab/>
      <w:t xml:space="preserve">   </w:t>
    </w:r>
  </w:p>
  <w:p w14:paraId="79567A6C" w14:textId="54D0C94E" w:rsidR="00CC0D19" w:rsidRPr="00DF4A8E" w:rsidRDefault="00CC0D19" w:rsidP="006857EB">
    <w:pPr>
      <w:pStyle w:val="Pieddepage"/>
      <w:rPr>
        <w:rFonts w:ascii="Calibri" w:hAnsi="Calibri" w:cs="Calibri"/>
        <w:snapToGrid w:val="0"/>
        <w:color w:val="31849B"/>
        <w:sz w:val="16"/>
      </w:rPr>
    </w:pPr>
    <w:r w:rsidRPr="00DF4A8E">
      <w:rPr>
        <w:rFonts w:ascii="Calibri" w:hAnsi="Calibri" w:cs="Calibri"/>
        <w:color w:val="31849B"/>
        <w:sz w:val="16"/>
      </w:rPr>
      <w:fldChar w:fldCharType="begin"/>
    </w:r>
    <w:r w:rsidRPr="00DF4A8E">
      <w:rPr>
        <w:rFonts w:ascii="Calibri" w:hAnsi="Calibri" w:cs="Calibri"/>
        <w:color w:val="31849B"/>
        <w:sz w:val="16"/>
      </w:rPr>
      <w:instrText xml:space="preserve"> DATE \@ "dd/MM/yy" </w:instrText>
    </w:r>
    <w:r w:rsidRPr="00DF4A8E">
      <w:rPr>
        <w:rFonts w:ascii="Calibri" w:hAnsi="Calibri" w:cs="Calibri"/>
        <w:color w:val="31849B"/>
        <w:sz w:val="16"/>
      </w:rPr>
      <w:fldChar w:fldCharType="separate"/>
    </w:r>
    <w:r w:rsidR="00B360F0">
      <w:rPr>
        <w:rFonts w:ascii="Calibri" w:hAnsi="Calibri" w:cs="Calibri"/>
        <w:noProof/>
        <w:color w:val="31849B"/>
        <w:sz w:val="16"/>
      </w:rPr>
      <w:t>21/03/23</w:t>
    </w:r>
    <w:r w:rsidRPr="00DF4A8E">
      <w:rPr>
        <w:rFonts w:ascii="Calibri" w:hAnsi="Calibri" w:cs="Calibri"/>
        <w:color w:val="31849B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6649F" w14:textId="77777777" w:rsidR="00D6696E" w:rsidRDefault="00D6696E">
      <w:r>
        <w:separator/>
      </w:r>
    </w:p>
  </w:footnote>
  <w:footnote w:type="continuationSeparator" w:id="0">
    <w:p w14:paraId="03D881CA" w14:textId="77777777" w:rsidR="00D6696E" w:rsidRDefault="00D66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B784" w14:textId="1278E9F3" w:rsidR="00F82AED" w:rsidRDefault="00F82AED">
    <w:pPr>
      <w:pStyle w:val="En-tte"/>
    </w:pPr>
  </w:p>
  <w:p w14:paraId="2C613119" w14:textId="77777777" w:rsidR="00CC0D19" w:rsidRDefault="00C50E5A">
    <w:pPr>
      <w:pStyle w:val="En-tt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3E51D17" wp14:editId="1799D533">
          <wp:simplePos x="0" y="0"/>
          <wp:positionH relativeFrom="column">
            <wp:posOffset>4652010</wp:posOffset>
          </wp:positionH>
          <wp:positionV relativeFrom="paragraph">
            <wp:posOffset>-589915</wp:posOffset>
          </wp:positionV>
          <wp:extent cx="1661795" cy="540385"/>
          <wp:effectExtent l="0" t="0" r="0" b="0"/>
          <wp:wrapNone/>
          <wp:docPr id="5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A49EB"/>
    <w:multiLevelType w:val="hybridMultilevel"/>
    <w:tmpl w:val="EB5CE8F2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5592083F"/>
    <w:multiLevelType w:val="hybridMultilevel"/>
    <w:tmpl w:val="303A8C06"/>
    <w:lvl w:ilvl="0" w:tplc="C88ADE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D129B"/>
    <w:multiLevelType w:val="hybridMultilevel"/>
    <w:tmpl w:val="CD363D72"/>
    <w:lvl w:ilvl="0" w:tplc="98A09FD2">
      <w:numFmt w:val="bullet"/>
      <w:lvlText w:val="-"/>
      <w:lvlJc w:val="left"/>
      <w:pPr>
        <w:ind w:left="546" w:hanging="360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1" w:tplc="AFAAC1C2">
      <w:numFmt w:val="bullet"/>
      <w:lvlText w:val="•"/>
      <w:lvlJc w:val="left"/>
      <w:pPr>
        <w:ind w:left="1430" w:hanging="360"/>
      </w:pPr>
      <w:rPr>
        <w:rFonts w:hint="default"/>
        <w:lang w:val="fr-FR" w:eastAsia="en-US" w:bidi="ar-SA"/>
      </w:rPr>
    </w:lvl>
    <w:lvl w:ilvl="2" w:tplc="E048A432">
      <w:numFmt w:val="bullet"/>
      <w:lvlText w:val="•"/>
      <w:lvlJc w:val="left"/>
      <w:pPr>
        <w:ind w:left="2321" w:hanging="360"/>
      </w:pPr>
      <w:rPr>
        <w:rFonts w:hint="default"/>
        <w:lang w:val="fr-FR" w:eastAsia="en-US" w:bidi="ar-SA"/>
      </w:rPr>
    </w:lvl>
    <w:lvl w:ilvl="3" w:tplc="9CCE3A40">
      <w:numFmt w:val="bullet"/>
      <w:lvlText w:val="•"/>
      <w:lvlJc w:val="left"/>
      <w:pPr>
        <w:ind w:left="3211" w:hanging="360"/>
      </w:pPr>
      <w:rPr>
        <w:rFonts w:hint="default"/>
        <w:lang w:val="fr-FR" w:eastAsia="en-US" w:bidi="ar-SA"/>
      </w:rPr>
    </w:lvl>
    <w:lvl w:ilvl="4" w:tplc="2384D782">
      <w:numFmt w:val="bullet"/>
      <w:lvlText w:val="•"/>
      <w:lvlJc w:val="left"/>
      <w:pPr>
        <w:ind w:left="4102" w:hanging="360"/>
      </w:pPr>
      <w:rPr>
        <w:rFonts w:hint="default"/>
        <w:lang w:val="fr-FR" w:eastAsia="en-US" w:bidi="ar-SA"/>
      </w:rPr>
    </w:lvl>
    <w:lvl w:ilvl="5" w:tplc="2E6A2638">
      <w:numFmt w:val="bullet"/>
      <w:lvlText w:val="•"/>
      <w:lvlJc w:val="left"/>
      <w:pPr>
        <w:ind w:left="4993" w:hanging="360"/>
      </w:pPr>
      <w:rPr>
        <w:rFonts w:hint="default"/>
        <w:lang w:val="fr-FR" w:eastAsia="en-US" w:bidi="ar-SA"/>
      </w:rPr>
    </w:lvl>
    <w:lvl w:ilvl="6" w:tplc="7D3E2992">
      <w:numFmt w:val="bullet"/>
      <w:lvlText w:val="•"/>
      <w:lvlJc w:val="left"/>
      <w:pPr>
        <w:ind w:left="5883" w:hanging="360"/>
      </w:pPr>
      <w:rPr>
        <w:rFonts w:hint="default"/>
        <w:lang w:val="fr-FR" w:eastAsia="en-US" w:bidi="ar-SA"/>
      </w:rPr>
    </w:lvl>
    <w:lvl w:ilvl="7" w:tplc="0B7869F2">
      <w:numFmt w:val="bullet"/>
      <w:lvlText w:val="•"/>
      <w:lvlJc w:val="left"/>
      <w:pPr>
        <w:ind w:left="6774" w:hanging="360"/>
      </w:pPr>
      <w:rPr>
        <w:rFonts w:hint="default"/>
        <w:lang w:val="fr-FR" w:eastAsia="en-US" w:bidi="ar-SA"/>
      </w:rPr>
    </w:lvl>
    <w:lvl w:ilvl="8" w:tplc="028640AC">
      <w:numFmt w:val="bullet"/>
      <w:lvlText w:val="•"/>
      <w:lvlJc w:val="left"/>
      <w:pPr>
        <w:ind w:left="7665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5EDE3498"/>
    <w:multiLevelType w:val="hybridMultilevel"/>
    <w:tmpl w:val="C630B4D4"/>
    <w:lvl w:ilvl="0" w:tplc="7FF095E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b/>
        <w:i w:val="0"/>
        <w:color w:val="8000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037421">
    <w:abstractNumId w:val="1"/>
  </w:num>
  <w:num w:numId="2" w16cid:durableId="1378310222">
    <w:abstractNumId w:val="3"/>
  </w:num>
  <w:num w:numId="3" w16cid:durableId="1549293972">
    <w:abstractNumId w:val="0"/>
  </w:num>
  <w:num w:numId="4" w16cid:durableId="46308530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53"/>
    <w:rsid w:val="00002E79"/>
    <w:rsid w:val="00007D4A"/>
    <w:rsid w:val="000106C3"/>
    <w:rsid w:val="00011415"/>
    <w:rsid w:val="00023812"/>
    <w:rsid w:val="000241BC"/>
    <w:rsid w:val="00035C76"/>
    <w:rsid w:val="00037614"/>
    <w:rsid w:val="0005052E"/>
    <w:rsid w:val="0005171C"/>
    <w:rsid w:val="00051F3C"/>
    <w:rsid w:val="00053C8B"/>
    <w:rsid w:val="0005699C"/>
    <w:rsid w:val="0007050F"/>
    <w:rsid w:val="000778D2"/>
    <w:rsid w:val="0008010D"/>
    <w:rsid w:val="00081747"/>
    <w:rsid w:val="00087814"/>
    <w:rsid w:val="00092F96"/>
    <w:rsid w:val="00097087"/>
    <w:rsid w:val="000A4023"/>
    <w:rsid w:val="000A638E"/>
    <w:rsid w:val="000A68BF"/>
    <w:rsid w:val="000B2867"/>
    <w:rsid w:val="000C0242"/>
    <w:rsid w:val="000C2147"/>
    <w:rsid w:val="000C517C"/>
    <w:rsid w:val="000C5FC9"/>
    <w:rsid w:val="000C6757"/>
    <w:rsid w:val="000C6BBD"/>
    <w:rsid w:val="000D27DB"/>
    <w:rsid w:val="000D38C4"/>
    <w:rsid w:val="000D5336"/>
    <w:rsid w:val="000D7BA6"/>
    <w:rsid w:val="000E15BF"/>
    <w:rsid w:val="000E379C"/>
    <w:rsid w:val="000E58E9"/>
    <w:rsid w:val="000F0F0F"/>
    <w:rsid w:val="000F4589"/>
    <w:rsid w:val="000F627F"/>
    <w:rsid w:val="000F79EA"/>
    <w:rsid w:val="000F7A1D"/>
    <w:rsid w:val="00104F8C"/>
    <w:rsid w:val="001071D1"/>
    <w:rsid w:val="00107437"/>
    <w:rsid w:val="00111DCD"/>
    <w:rsid w:val="00122D5C"/>
    <w:rsid w:val="00123D0D"/>
    <w:rsid w:val="00124246"/>
    <w:rsid w:val="001254E2"/>
    <w:rsid w:val="0012661B"/>
    <w:rsid w:val="0013405D"/>
    <w:rsid w:val="00135659"/>
    <w:rsid w:val="0013721F"/>
    <w:rsid w:val="0014174E"/>
    <w:rsid w:val="00147027"/>
    <w:rsid w:val="001479A9"/>
    <w:rsid w:val="00147C75"/>
    <w:rsid w:val="00147F10"/>
    <w:rsid w:val="00150AF8"/>
    <w:rsid w:val="00150B77"/>
    <w:rsid w:val="00155D3E"/>
    <w:rsid w:val="00160914"/>
    <w:rsid w:val="001611F1"/>
    <w:rsid w:val="00161FF6"/>
    <w:rsid w:val="0016262B"/>
    <w:rsid w:val="0016311D"/>
    <w:rsid w:val="00166B2B"/>
    <w:rsid w:val="00170A39"/>
    <w:rsid w:val="00170B3B"/>
    <w:rsid w:val="00172694"/>
    <w:rsid w:val="00173AAE"/>
    <w:rsid w:val="001761FE"/>
    <w:rsid w:val="00176C1D"/>
    <w:rsid w:val="00177D8A"/>
    <w:rsid w:val="00180BFB"/>
    <w:rsid w:val="00182286"/>
    <w:rsid w:val="00191685"/>
    <w:rsid w:val="00196E6F"/>
    <w:rsid w:val="001A1420"/>
    <w:rsid w:val="001A77B5"/>
    <w:rsid w:val="001A7956"/>
    <w:rsid w:val="001B0708"/>
    <w:rsid w:val="001B11BD"/>
    <w:rsid w:val="001B1251"/>
    <w:rsid w:val="001B6961"/>
    <w:rsid w:val="001B6EC5"/>
    <w:rsid w:val="001C1DF7"/>
    <w:rsid w:val="001D4BC9"/>
    <w:rsid w:val="001D76A6"/>
    <w:rsid w:val="001E12C5"/>
    <w:rsid w:val="001F0DE1"/>
    <w:rsid w:val="001F6ED7"/>
    <w:rsid w:val="0022146C"/>
    <w:rsid w:val="00221655"/>
    <w:rsid w:val="00222D3A"/>
    <w:rsid w:val="002233AA"/>
    <w:rsid w:val="002245CA"/>
    <w:rsid w:val="0023327D"/>
    <w:rsid w:val="00236747"/>
    <w:rsid w:val="002369EC"/>
    <w:rsid w:val="00241186"/>
    <w:rsid w:val="00254467"/>
    <w:rsid w:val="00263C0D"/>
    <w:rsid w:val="00264159"/>
    <w:rsid w:val="00264AE9"/>
    <w:rsid w:val="00264D43"/>
    <w:rsid w:val="00266491"/>
    <w:rsid w:val="00266B17"/>
    <w:rsid w:val="00282E6D"/>
    <w:rsid w:val="002842AA"/>
    <w:rsid w:val="002856AA"/>
    <w:rsid w:val="00285EBC"/>
    <w:rsid w:val="00286460"/>
    <w:rsid w:val="00292047"/>
    <w:rsid w:val="00293500"/>
    <w:rsid w:val="002A15FB"/>
    <w:rsid w:val="002A4EB0"/>
    <w:rsid w:val="002A5E90"/>
    <w:rsid w:val="002B00F3"/>
    <w:rsid w:val="002B06B3"/>
    <w:rsid w:val="002B27D1"/>
    <w:rsid w:val="002B2E91"/>
    <w:rsid w:val="002C3BCB"/>
    <w:rsid w:val="002C531D"/>
    <w:rsid w:val="002D0672"/>
    <w:rsid w:val="002D681E"/>
    <w:rsid w:val="002E0439"/>
    <w:rsid w:val="002E5214"/>
    <w:rsid w:val="002F1AAC"/>
    <w:rsid w:val="002F3158"/>
    <w:rsid w:val="002F47C5"/>
    <w:rsid w:val="003204CE"/>
    <w:rsid w:val="0032144C"/>
    <w:rsid w:val="00322E9E"/>
    <w:rsid w:val="00324AA5"/>
    <w:rsid w:val="00324D7E"/>
    <w:rsid w:val="00342C8A"/>
    <w:rsid w:val="0034504F"/>
    <w:rsid w:val="00355F38"/>
    <w:rsid w:val="003628E2"/>
    <w:rsid w:val="00364B9D"/>
    <w:rsid w:val="003664DB"/>
    <w:rsid w:val="003700A7"/>
    <w:rsid w:val="0037345B"/>
    <w:rsid w:val="00375760"/>
    <w:rsid w:val="00377E00"/>
    <w:rsid w:val="00386259"/>
    <w:rsid w:val="00392DE7"/>
    <w:rsid w:val="00394B67"/>
    <w:rsid w:val="00394FC1"/>
    <w:rsid w:val="003A1816"/>
    <w:rsid w:val="003A1821"/>
    <w:rsid w:val="003A47E5"/>
    <w:rsid w:val="003B07D2"/>
    <w:rsid w:val="003C3AE9"/>
    <w:rsid w:val="003C3AEE"/>
    <w:rsid w:val="003C5206"/>
    <w:rsid w:val="003E1F12"/>
    <w:rsid w:val="00401605"/>
    <w:rsid w:val="0040494C"/>
    <w:rsid w:val="00410176"/>
    <w:rsid w:val="00413FED"/>
    <w:rsid w:val="004220D7"/>
    <w:rsid w:val="004248DC"/>
    <w:rsid w:val="00424B04"/>
    <w:rsid w:val="004276FF"/>
    <w:rsid w:val="00432FE6"/>
    <w:rsid w:val="00433A37"/>
    <w:rsid w:val="0045583D"/>
    <w:rsid w:val="00463A08"/>
    <w:rsid w:val="00463EAB"/>
    <w:rsid w:val="00464ECF"/>
    <w:rsid w:val="004711FB"/>
    <w:rsid w:val="00473FBA"/>
    <w:rsid w:val="00474544"/>
    <w:rsid w:val="004756E4"/>
    <w:rsid w:val="00476067"/>
    <w:rsid w:val="00483601"/>
    <w:rsid w:val="00484946"/>
    <w:rsid w:val="00485B64"/>
    <w:rsid w:val="00485E75"/>
    <w:rsid w:val="00486BED"/>
    <w:rsid w:val="00492BED"/>
    <w:rsid w:val="004954FD"/>
    <w:rsid w:val="00495F32"/>
    <w:rsid w:val="004977F0"/>
    <w:rsid w:val="00497CC6"/>
    <w:rsid w:val="004A165E"/>
    <w:rsid w:val="004A6973"/>
    <w:rsid w:val="004B0BB7"/>
    <w:rsid w:val="004B2A56"/>
    <w:rsid w:val="004B5D47"/>
    <w:rsid w:val="004C0ACA"/>
    <w:rsid w:val="004C0D70"/>
    <w:rsid w:val="004C14C3"/>
    <w:rsid w:val="004C1980"/>
    <w:rsid w:val="004C3EC3"/>
    <w:rsid w:val="004C6D68"/>
    <w:rsid w:val="004C7E95"/>
    <w:rsid w:val="004D0E34"/>
    <w:rsid w:val="004E703A"/>
    <w:rsid w:val="004E7CDB"/>
    <w:rsid w:val="004F15D6"/>
    <w:rsid w:val="004F2086"/>
    <w:rsid w:val="004F2BA6"/>
    <w:rsid w:val="004F551F"/>
    <w:rsid w:val="00501359"/>
    <w:rsid w:val="005017E0"/>
    <w:rsid w:val="00503403"/>
    <w:rsid w:val="00503C1C"/>
    <w:rsid w:val="00505ADA"/>
    <w:rsid w:val="005070BF"/>
    <w:rsid w:val="00513060"/>
    <w:rsid w:val="00513A85"/>
    <w:rsid w:val="005156B0"/>
    <w:rsid w:val="0052068C"/>
    <w:rsid w:val="005248A2"/>
    <w:rsid w:val="00526832"/>
    <w:rsid w:val="00535CB1"/>
    <w:rsid w:val="00537838"/>
    <w:rsid w:val="00540270"/>
    <w:rsid w:val="00541019"/>
    <w:rsid w:val="00542CC6"/>
    <w:rsid w:val="0054347C"/>
    <w:rsid w:val="00543859"/>
    <w:rsid w:val="00547923"/>
    <w:rsid w:val="00547CBF"/>
    <w:rsid w:val="0055503C"/>
    <w:rsid w:val="005557E9"/>
    <w:rsid w:val="00566592"/>
    <w:rsid w:val="0057554E"/>
    <w:rsid w:val="00576FEA"/>
    <w:rsid w:val="00577AE4"/>
    <w:rsid w:val="00584535"/>
    <w:rsid w:val="00591FE1"/>
    <w:rsid w:val="00593CE4"/>
    <w:rsid w:val="00595C39"/>
    <w:rsid w:val="00597BBD"/>
    <w:rsid w:val="005A0CAD"/>
    <w:rsid w:val="005A3DCA"/>
    <w:rsid w:val="005A542D"/>
    <w:rsid w:val="005B4050"/>
    <w:rsid w:val="005B7711"/>
    <w:rsid w:val="005C3B40"/>
    <w:rsid w:val="005C3DFE"/>
    <w:rsid w:val="005C63AC"/>
    <w:rsid w:val="005C65AF"/>
    <w:rsid w:val="005D2C2E"/>
    <w:rsid w:val="005E40E3"/>
    <w:rsid w:val="005E4C72"/>
    <w:rsid w:val="005F1824"/>
    <w:rsid w:val="005F27FF"/>
    <w:rsid w:val="005F461E"/>
    <w:rsid w:val="00601A88"/>
    <w:rsid w:val="00602FD3"/>
    <w:rsid w:val="00607767"/>
    <w:rsid w:val="00611743"/>
    <w:rsid w:val="00614452"/>
    <w:rsid w:val="006168D8"/>
    <w:rsid w:val="00627DC5"/>
    <w:rsid w:val="0063367A"/>
    <w:rsid w:val="006365D0"/>
    <w:rsid w:val="00641672"/>
    <w:rsid w:val="006560CB"/>
    <w:rsid w:val="00670013"/>
    <w:rsid w:val="006819A0"/>
    <w:rsid w:val="006857EB"/>
    <w:rsid w:val="00686B5E"/>
    <w:rsid w:val="006916C3"/>
    <w:rsid w:val="006A13A7"/>
    <w:rsid w:val="006A31BE"/>
    <w:rsid w:val="006A6674"/>
    <w:rsid w:val="006A7A07"/>
    <w:rsid w:val="006B4201"/>
    <w:rsid w:val="006C28A5"/>
    <w:rsid w:val="006D413B"/>
    <w:rsid w:val="006D7627"/>
    <w:rsid w:val="006E36F4"/>
    <w:rsid w:val="006E7E42"/>
    <w:rsid w:val="006F122D"/>
    <w:rsid w:val="00700C4F"/>
    <w:rsid w:val="0071191A"/>
    <w:rsid w:val="00715868"/>
    <w:rsid w:val="007163BB"/>
    <w:rsid w:val="00721999"/>
    <w:rsid w:val="00724604"/>
    <w:rsid w:val="00724F8C"/>
    <w:rsid w:val="00725F5A"/>
    <w:rsid w:val="007278F4"/>
    <w:rsid w:val="00731CB6"/>
    <w:rsid w:val="007320B4"/>
    <w:rsid w:val="007341C9"/>
    <w:rsid w:val="007373A1"/>
    <w:rsid w:val="00740647"/>
    <w:rsid w:val="00751BE1"/>
    <w:rsid w:val="00753BB1"/>
    <w:rsid w:val="00754D5B"/>
    <w:rsid w:val="00755044"/>
    <w:rsid w:val="00757840"/>
    <w:rsid w:val="00763A77"/>
    <w:rsid w:val="00765997"/>
    <w:rsid w:val="00765A9B"/>
    <w:rsid w:val="007704CF"/>
    <w:rsid w:val="00770C1A"/>
    <w:rsid w:val="00771859"/>
    <w:rsid w:val="00772B24"/>
    <w:rsid w:val="00775065"/>
    <w:rsid w:val="007750B1"/>
    <w:rsid w:val="0077768E"/>
    <w:rsid w:val="00781C56"/>
    <w:rsid w:val="00782EB3"/>
    <w:rsid w:val="00783A3B"/>
    <w:rsid w:val="00784A66"/>
    <w:rsid w:val="0079260E"/>
    <w:rsid w:val="00792A8F"/>
    <w:rsid w:val="007A1C30"/>
    <w:rsid w:val="007A585B"/>
    <w:rsid w:val="007A72EF"/>
    <w:rsid w:val="007B0E05"/>
    <w:rsid w:val="007B16B9"/>
    <w:rsid w:val="007B58DE"/>
    <w:rsid w:val="007B76F9"/>
    <w:rsid w:val="007C3FA9"/>
    <w:rsid w:val="007C5F99"/>
    <w:rsid w:val="007C6FC5"/>
    <w:rsid w:val="007C778E"/>
    <w:rsid w:val="007C7B90"/>
    <w:rsid w:val="007D5B46"/>
    <w:rsid w:val="007E325C"/>
    <w:rsid w:val="007E3D07"/>
    <w:rsid w:val="007E5584"/>
    <w:rsid w:val="007E5C24"/>
    <w:rsid w:val="007F1353"/>
    <w:rsid w:val="007F1B4B"/>
    <w:rsid w:val="007F4016"/>
    <w:rsid w:val="007F4FDC"/>
    <w:rsid w:val="007F54DB"/>
    <w:rsid w:val="00801C6A"/>
    <w:rsid w:val="00803560"/>
    <w:rsid w:val="0081170D"/>
    <w:rsid w:val="00821507"/>
    <w:rsid w:val="00821AD4"/>
    <w:rsid w:val="00821E9E"/>
    <w:rsid w:val="00825568"/>
    <w:rsid w:val="00826489"/>
    <w:rsid w:val="00835488"/>
    <w:rsid w:val="0083682B"/>
    <w:rsid w:val="008407CC"/>
    <w:rsid w:val="00843851"/>
    <w:rsid w:val="00846590"/>
    <w:rsid w:val="00857EEB"/>
    <w:rsid w:val="00871FB5"/>
    <w:rsid w:val="00877591"/>
    <w:rsid w:val="00890044"/>
    <w:rsid w:val="00891706"/>
    <w:rsid w:val="008977F0"/>
    <w:rsid w:val="008A1BA5"/>
    <w:rsid w:val="008A3119"/>
    <w:rsid w:val="008B0AB3"/>
    <w:rsid w:val="008B7234"/>
    <w:rsid w:val="008C32F4"/>
    <w:rsid w:val="008C5D59"/>
    <w:rsid w:val="008C60F1"/>
    <w:rsid w:val="008D2312"/>
    <w:rsid w:val="008D4816"/>
    <w:rsid w:val="008D5F7B"/>
    <w:rsid w:val="008E2755"/>
    <w:rsid w:val="008E39A1"/>
    <w:rsid w:val="008E5D06"/>
    <w:rsid w:val="008F22B4"/>
    <w:rsid w:val="008F7D3F"/>
    <w:rsid w:val="00903424"/>
    <w:rsid w:val="009039B4"/>
    <w:rsid w:val="009136BE"/>
    <w:rsid w:val="0091741E"/>
    <w:rsid w:val="00917FA8"/>
    <w:rsid w:val="00932B79"/>
    <w:rsid w:val="00940A5F"/>
    <w:rsid w:val="00941E6D"/>
    <w:rsid w:val="00960F7B"/>
    <w:rsid w:val="009637BF"/>
    <w:rsid w:val="00967468"/>
    <w:rsid w:val="00974149"/>
    <w:rsid w:val="00975A50"/>
    <w:rsid w:val="0097601A"/>
    <w:rsid w:val="009836A8"/>
    <w:rsid w:val="0099030F"/>
    <w:rsid w:val="009A0169"/>
    <w:rsid w:val="009A0A4D"/>
    <w:rsid w:val="009A0E40"/>
    <w:rsid w:val="009A5083"/>
    <w:rsid w:val="009B0A98"/>
    <w:rsid w:val="009B2BB2"/>
    <w:rsid w:val="009B390D"/>
    <w:rsid w:val="009B63B9"/>
    <w:rsid w:val="009C1609"/>
    <w:rsid w:val="009C7C32"/>
    <w:rsid w:val="009D0C12"/>
    <w:rsid w:val="009D5D3A"/>
    <w:rsid w:val="009E0452"/>
    <w:rsid w:val="009E5B50"/>
    <w:rsid w:val="009E5F2C"/>
    <w:rsid w:val="009E7833"/>
    <w:rsid w:val="009E7CED"/>
    <w:rsid w:val="009F166F"/>
    <w:rsid w:val="00A0564A"/>
    <w:rsid w:val="00A0745F"/>
    <w:rsid w:val="00A119DB"/>
    <w:rsid w:val="00A3179B"/>
    <w:rsid w:val="00A34664"/>
    <w:rsid w:val="00A3473B"/>
    <w:rsid w:val="00A3642F"/>
    <w:rsid w:val="00A37F83"/>
    <w:rsid w:val="00A424DF"/>
    <w:rsid w:val="00A449D1"/>
    <w:rsid w:val="00A47207"/>
    <w:rsid w:val="00A4737D"/>
    <w:rsid w:val="00A52AB9"/>
    <w:rsid w:val="00A5406B"/>
    <w:rsid w:val="00A57A0B"/>
    <w:rsid w:val="00A74D9A"/>
    <w:rsid w:val="00A81648"/>
    <w:rsid w:val="00A85113"/>
    <w:rsid w:val="00A852B5"/>
    <w:rsid w:val="00A85BB1"/>
    <w:rsid w:val="00A90EC4"/>
    <w:rsid w:val="00A92388"/>
    <w:rsid w:val="00A941E8"/>
    <w:rsid w:val="00AA0CA9"/>
    <w:rsid w:val="00AB229A"/>
    <w:rsid w:val="00AC0357"/>
    <w:rsid w:val="00AC0F0A"/>
    <w:rsid w:val="00AC133F"/>
    <w:rsid w:val="00AC246C"/>
    <w:rsid w:val="00AC437F"/>
    <w:rsid w:val="00AD26E4"/>
    <w:rsid w:val="00AD2A38"/>
    <w:rsid w:val="00AD3F74"/>
    <w:rsid w:val="00AD48D9"/>
    <w:rsid w:val="00AD5A3E"/>
    <w:rsid w:val="00AE1997"/>
    <w:rsid w:val="00AE7FAA"/>
    <w:rsid w:val="00AF45D9"/>
    <w:rsid w:val="00AF6639"/>
    <w:rsid w:val="00B036EB"/>
    <w:rsid w:val="00B065B9"/>
    <w:rsid w:val="00B10BDE"/>
    <w:rsid w:val="00B12907"/>
    <w:rsid w:val="00B16A9B"/>
    <w:rsid w:val="00B220CE"/>
    <w:rsid w:val="00B27333"/>
    <w:rsid w:val="00B30484"/>
    <w:rsid w:val="00B30A4C"/>
    <w:rsid w:val="00B31B92"/>
    <w:rsid w:val="00B32289"/>
    <w:rsid w:val="00B359E2"/>
    <w:rsid w:val="00B360F0"/>
    <w:rsid w:val="00B40D24"/>
    <w:rsid w:val="00B42497"/>
    <w:rsid w:val="00B425DC"/>
    <w:rsid w:val="00B475D6"/>
    <w:rsid w:val="00B50A0C"/>
    <w:rsid w:val="00B51747"/>
    <w:rsid w:val="00B57E7B"/>
    <w:rsid w:val="00B66AFF"/>
    <w:rsid w:val="00B80AD0"/>
    <w:rsid w:val="00B8291C"/>
    <w:rsid w:val="00B87E03"/>
    <w:rsid w:val="00B92E5A"/>
    <w:rsid w:val="00B94B63"/>
    <w:rsid w:val="00B955C7"/>
    <w:rsid w:val="00B97434"/>
    <w:rsid w:val="00BA0073"/>
    <w:rsid w:val="00BA0081"/>
    <w:rsid w:val="00BA405D"/>
    <w:rsid w:val="00BA44E1"/>
    <w:rsid w:val="00BA5ECE"/>
    <w:rsid w:val="00BB586F"/>
    <w:rsid w:val="00BB5AEB"/>
    <w:rsid w:val="00BB6161"/>
    <w:rsid w:val="00BB736A"/>
    <w:rsid w:val="00BC240A"/>
    <w:rsid w:val="00BC7041"/>
    <w:rsid w:val="00BD05D3"/>
    <w:rsid w:val="00BD2224"/>
    <w:rsid w:val="00BD6C78"/>
    <w:rsid w:val="00BD7CB5"/>
    <w:rsid w:val="00BE010B"/>
    <w:rsid w:val="00BE4D18"/>
    <w:rsid w:val="00BF0292"/>
    <w:rsid w:val="00C011A9"/>
    <w:rsid w:val="00C026F3"/>
    <w:rsid w:val="00C03FFD"/>
    <w:rsid w:val="00C106CF"/>
    <w:rsid w:val="00C1145B"/>
    <w:rsid w:val="00C14A6E"/>
    <w:rsid w:val="00C16001"/>
    <w:rsid w:val="00C16C61"/>
    <w:rsid w:val="00C21169"/>
    <w:rsid w:val="00C2213A"/>
    <w:rsid w:val="00C24A66"/>
    <w:rsid w:val="00C30DB3"/>
    <w:rsid w:val="00C31E73"/>
    <w:rsid w:val="00C379E8"/>
    <w:rsid w:val="00C4267D"/>
    <w:rsid w:val="00C44F44"/>
    <w:rsid w:val="00C50CE9"/>
    <w:rsid w:val="00C50E5A"/>
    <w:rsid w:val="00C51FC1"/>
    <w:rsid w:val="00C560EA"/>
    <w:rsid w:val="00C56FD5"/>
    <w:rsid w:val="00C621E7"/>
    <w:rsid w:val="00C63125"/>
    <w:rsid w:val="00C82648"/>
    <w:rsid w:val="00C9022B"/>
    <w:rsid w:val="00C93A64"/>
    <w:rsid w:val="00CA301D"/>
    <w:rsid w:val="00CB1904"/>
    <w:rsid w:val="00CB5A36"/>
    <w:rsid w:val="00CB5BC6"/>
    <w:rsid w:val="00CC0923"/>
    <w:rsid w:val="00CC0D19"/>
    <w:rsid w:val="00CC2E9D"/>
    <w:rsid w:val="00CC56A4"/>
    <w:rsid w:val="00CC7378"/>
    <w:rsid w:val="00CD4296"/>
    <w:rsid w:val="00CE1A7B"/>
    <w:rsid w:val="00CE2E6A"/>
    <w:rsid w:val="00CE5C4B"/>
    <w:rsid w:val="00CF11AE"/>
    <w:rsid w:val="00CF31C5"/>
    <w:rsid w:val="00CF4813"/>
    <w:rsid w:val="00D00A47"/>
    <w:rsid w:val="00D04305"/>
    <w:rsid w:val="00D13297"/>
    <w:rsid w:val="00D42009"/>
    <w:rsid w:val="00D465B5"/>
    <w:rsid w:val="00D541E9"/>
    <w:rsid w:val="00D57E3E"/>
    <w:rsid w:val="00D6696E"/>
    <w:rsid w:val="00D72425"/>
    <w:rsid w:val="00D74DE2"/>
    <w:rsid w:val="00D85798"/>
    <w:rsid w:val="00D94923"/>
    <w:rsid w:val="00DA11ED"/>
    <w:rsid w:val="00DA4009"/>
    <w:rsid w:val="00DA5363"/>
    <w:rsid w:val="00DA5B77"/>
    <w:rsid w:val="00DA617F"/>
    <w:rsid w:val="00DB3371"/>
    <w:rsid w:val="00DC4A53"/>
    <w:rsid w:val="00DC63B2"/>
    <w:rsid w:val="00DD1295"/>
    <w:rsid w:val="00DD1464"/>
    <w:rsid w:val="00DF4A8E"/>
    <w:rsid w:val="00DF5C0C"/>
    <w:rsid w:val="00DF7A0C"/>
    <w:rsid w:val="00E02556"/>
    <w:rsid w:val="00E0471A"/>
    <w:rsid w:val="00E1695D"/>
    <w:rsid w:val="00E17D60"/>
    <w:rsid w:val="00E224DC"/>
    <w:rsid w:val="00E22AEE"/>
    <w:rsid w:val="00E33EA4"/>
    <w:rsid w:val="00E349B7"/>
    <w:rsid w:val="00E42291"/>
    <w:rsid w:val="00E44A90"/>
    <w:rsid w:val="00E471B8"/>
    <w:rsid w:val="00E47906"/>
    <w:rsid w:val="00E52E29"/>
    <w:rsid w:val="00E53B0D"/>
    <w:rsid w:val="00E53DC4"/>
    <w:rsid w:val="00E5620B"/>
    <w:rsid w:val="00E67E38"/>
    <w:rsid w:val="00E73ACA"/>
    <w:rsid w:val="00E82642"/>
    <w:rsid w:val="00E84581"/>
    <w:rsid w:val="00E922C4"/>
    <w:rsid w:val="00E96EB2"/>
    <w:rsid w:val="00EA1661"/>
    <w:rsid w:val="00EA1988"/>
    <w:rsid w:val="00EA336E"/>
    <w:rsid w:val="00EA7CAC"/>
    <w:rsid w:val="00EC3C94"/>
    <w:rsid w:val="00ED36D1"/>
    <w:rsid w:val="00ED5229"/>
    <w:rsid w:val="00ED60C2"/>
    <w:rsid w:val="00EE2494"/>
    <w:rsid w:val="00EE6514"/>
    <w:rsid w:val="00EE76E5"/>
    <w:rsid w:val="00EF0900"/>
    <w:rsid w:val="00EF616A"/>
    <w:rsid w:val="00F0712F"/>
    <w:rsid w:val="00F12F6B"/>
    <w:rsid w:val="00F155F2"/>
    <w:rsid w:val="00F17947"/>
    <w:rsid w:val="00F25AB5"/>
    <w:rsid w:val="00F2728D"/>
    <w:rsid w:val="00F27BB4"/>
    <w:rsid w:val="00F35BBB"/>
    <w:rsid w:val="00F40317"/>
    <w:rsid w:val="00F4546A"/>
    <w:rsid w:val="00F4596C"/>
    <w:rsid w:val="00F5132C"/>
    <w:rsid w:val="00F54D89"/>
    <w:rsid w:val="00F55D68"/>
    <w:rsid w:val="00F606C3"/>
    <w:rsid w:val="00F628CB"/>
    <w:rsid w:val="00F63083"/>
    <w:rsid w:val="00F7228A"/>
    <w:rsid w:val="00F768AE"/>
    <w:rsid w:val="00F7732F"/>
    <w:rsid w:val="00F77E2F"/>
    <w:rsid w:val="00F80678"/>
    <w:rsid w:val="00F82AED"/>
    <w:rsid w:val="00F839DB"/>
    <w:rsid w:val="00F85F99"/>
    <w:rsid w:val="00F93B27"/>
    <w:rsid w:val="00F976AD"/>
    <w:rsid w:val="00F97A8E"/>
    <w:rsid w:val="00FA23BC"/>
    <w:rsid w:val="00FA41FC"/>
    <w:rsid w:val="00FA5E21"/>
    <w:rsid w:val="00FA65B8"/>
    <w:rsid w:val="00FB0285"/>
    <w:rsid w:val="00FB164A"/>
    <w:rsid w:val="00FB2944"/>
    <w:rsid w:val="00FB318A"/>
    <w:rsid w:val="00FB40BA"/>
    <w:rsid w:val="00FB53BE"/>
    <w:rsid w:val="00FB701E"/>
    <w:rsid w:val="00FC2DF2"/>
    <w:rsid w:val="00FD58DA"/>
    <w:rsid w:val="00FD708E"/>
    <w:rsid w:val="00FE1835"/>
    <w:rsid w:val="00FE2597"/>
    <w:rsid w:val="00FE5306"/>
    <w:rsid w:val="00FF35F9"/>
    <w:rsid w:val="00FF550E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A50DB21"/>
  <w15:docId w15:val="{3666594B-5BE9-4047-9D99-312E8AC6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b/>
      <w:bCs/>
      <w:sz w:val="22"/>
      <w:szCs w:val="22"/>
    </w:rPr>
  </w:style>
  <w:style w:type="paragraph" w:styleId="Titre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Times New (W1)" w:hAnsi="Times New (W1)"/>
      <w:b/>
      <w:snapToGrid w:val="0"/>
      <w:color w:val="FF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spacing w:before="120"/>
    </w:pPr>
    <w:rPr>
      <w:b/>
      <w:bCs/>
      <w:sz w:val="22"/>
      <w:szCs w:val="22"/>
    </w:rPr>
  </w:style>
  <w:style w:type="paragraph" w:styleId="Titre">
    <w:name w:val="Title"/>
    <w:basedOn w:val="Normal"/>
    <w:qFormat/>
    <w:pPr>
      <w:jc w:val="center"/>
    </w:pPr>
    <w:rPr>
      <w:b/>
      <w:bCs/>
      <w:color w:val="0000FF"/>
      <w:sz w:val="36"/>
      <w:szCs w:val="36"/>
    </w:rPr>
  </w:style>
  <w:style w:type="paragraph" w:styleId="Retraitcorpsdetexte3">
    <w:name w:val="Body Text Indent 3"/>
    <w:basedOn w:val="Normal"/>
    <w:pPr>
      <w:tabs>
        <w:tab w:val="left" w:pos="284"/>
        <w:tab w:val="left" w:pos="672"/>
      </w:tabs>
      <w:spacing w:line="240" w:lineRule="exact"/>
      <w:ind w:left="709" w:hanging="9"/>
    </w:pPr>
    <w:rPr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3783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F3158"/>
    <w:pPr>
      <w:ind w:left="708"/>
    </w:pPr>
  </w:style>
  <w:style w:type="paragraph" w:styleId="Rvision">
    <w:name w:val="Revision"/>
    <w:hidden/>
    <w:uiPriority w:val="99"/>
    <w:semiHidden/>
    <w:rsid w:val="00BE4D18"/>
  </w:style>
  <w:style w:type="paragraph" w:customStyle="1" w:styleId="textenoteDI">
    <w:name w:val="texte note DI"/>
    <w:rsid w:val="0052068C"/>
    <w:pPr>
      <w:ind w:left="567"/>
      <w:jc w:val="both"/>
    </w:pPr>
    <w:rPr>
      <w:rFonts w:ascii="Verdana" w:hAnsi="Verdana"/>
      <w:noProof/>
    </w:rPr>
  </w:style>
  <w:style w:type="table" w:styleId="Grilledutableau">
    <w:name w:val="Table Grid"/>
    <w:basedOn w:val="TableauNormal"/>
    <w:rsid w:val="001A7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D5A3E"/>
    <w:rPr>
      <w:b/>
      <w:bCs/>
    </w:rPr>
  </w:style>
  <w:style w:type="paragraph" w:customStyle="1" w:styleId="s8">
    <w:name w:val="s8"/>
    <w:basedOn w:val="Normal"/>
    <w:rsid w:val="006A31B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13">
    <w:name w:val="s13"/>
    <w:basedOn w:val="Normal"/>
    <w:rsid w:val="006A31B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14">
    <w:name w:val="s14"/>
    <w:basedOn w:val="Normal"/>
    <w:rsid w:val="006A31B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15">
    <w:name w:val="s15"/>
    <w:basedOn w:val="Normal"/>
    <w:rsid w:val="006A31B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Policepardfaut"/>
    <w:rsid w:val="006A31BE"/>
  </w:style>
  <w:style w:type="character" w:customStyle="1" w:styleId="spelle">
    <w:name w:val="spelle"/>
    <w:basedOn w:val="Policepardfaut"/>
    <w:rsid w:val="007E3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733810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8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3D6"/>
                                <w:bottom w:val="single" w:sz="6" w:space="0" w:color="D0D3D6"/>
                                <w:right w:val="single" w:sz="6" w:space="0" w:color="D0D3D6"/>
                              </w:divBdr>
                              <w:divsChild>
                                <w:div w:id="59809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17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4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25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1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52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5226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5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2024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9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3D6"/>
                                <w:bottom w:val="single" w:sz="6" w:space="0" w:color="D0D3D6"/>
                                <w:right w:val="single" w:sz="6" w:space="0" w:color="D0D3D6"/>
                              </w:divBdr>
                              <w:divsChild>
                                <w:div w:id="135765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38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63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1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7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52383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7D842-552C-4220-A19E-90224394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ICF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 BRUN Didier</dc:creator>
  <cp:lastModifiedBy>BOUTILLIER Simon</cp:lastModifiedBy>
  <cp:revision>3</cp:revision>
  <cp:lastPrinted>2022-12-15T16:50:00Z</cp:lastPrinted>
  <dcterms:created xsi:type="dcterms:W3CDTF">2023-03-21T17:14:00Z</dcterms:created>
  <dcterms:modified xsi:type="dcterms:W3CDTF">2023-03-21T17:17:00Z</dcterms:modified>
</cp:coreProperties>
</file>